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附件1</w:t>
      </w:r>
      <w:bookmarkStart w:id="11" w:name="_GoBack"/>
      <w:bookmarkEnd w:id="11"/>
    </w:p>
    <w:p>
      <w:pPr>
        <w:spacing w:before="0" w:beforeLines="0" w:after="0" w:afterLines="0"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兰州石化职业技术大学</w:t>
      </w:r>
    </w:p>
    <w:p>
      <w:pPr>
        <w:spacing w:before="0" w:beforeLines="0" w:after="0" w:afterLines="0"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***学院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2025年兼职教师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选聘公告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学校师资队伍建设，充实兼职教师队伍力量，根据《教育部等四部门关于印发&lt;职业学校兼职教师管理办法&gt;的通知》（教师〔2023〕9号）《兰州石化职业技术大学兼职教师聘任管理办法》（兰州石化大学校发〔2023〕78号），现将***学院2025年</w:t>
      </w:r>
      <w:bookmarkStart w:id="0" w:name="OLE_LINK1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兼职教师聘任计划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公布，有意愿的人员联系学院报名。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1" w:name="OLE_LINK9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一、选聘条件</w:t>
      </w:r>
      <w:bookmarkEnd w:id="1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具备良好的思想政治素质和职业道德，遵纪守法，热爱教育事业，身心健康；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具有较高的专业素养和技能水平，能够胜任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学校教育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一般应具有中级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以上专业技术职务（职称）或高级工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以上职业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技能等级或博士研究生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，特殊情况也可聘请具有特殊技能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在行业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具有一定声誉的能工巧匠、非物质文化遗产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传承人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聘请的兼职教师一般应为企事业单位在职人员。专业教学急需的可聘请退休人员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初次聘请的退休兼职教师，离开原工作岗位的时间原则上不超过2年，年龄一般不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周岁。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（二）职业条件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楷体" w:hAnsi="楷体" w:eastAsia="仿宋_GB2312" w:cs="楷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兼职教授、副教授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聘任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bookmarkStart w:id="2" w:name="OLE_LINK8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bookmarkEnd w:id="2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bookmarkStart w:id="3" w:name="OLE_LINK7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bookmarkEnd w:id="3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具有系统的专业基础，熟悉相关专业的发展前沿和行业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的新技术、新工艺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具有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丰富的实践经历和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较高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的教学科研能力，在拟聘的专业领域有突出的业绩或特殊的职业技能，有组织或承担应用型研究和破解企业技术难题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能力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一般应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具有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高级职称或技师及以上职业资格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兼职讲师、兼职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岗位实习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指导教师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聘任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熟练掌握相关专业知识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有一定的实践经历和教学科研能力，有较强的语言表达能力和应用研究能力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一般应具有中级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以上职称或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高级工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以上职业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技能等级或博士研究生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4" w:name="OLE_LINK21"/>
      <w:bookmarkStart w:id="5" w:name="OLE_LINK13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二、薪酬待遇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1.每学期授课任务完成后按授课课时数计算课酬，45分钟为一个课时；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2.来校授课教师课酬标准为</w:t>
      </w:r>
      <w:bookmarkStart w:id="6" w:name="OLE_LINK14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高级职称150元/课时，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副高级职称120元/课时，中级职称100元/课时。来校授课教师的企业高级技师、技师、高级工等课酬标准按学校相关规定执行。</w:t>
      </w:r>
    </w:p>
    <w:p>
      <w:pPr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3.岗位实习指导教师课酬标准统一为10元/课时。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="159" w:afterLines="50" w:afterAutospacing="0" w:line="56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/>
        </w:rPr>
      </w:pPr>
      <w:bookmarkStart w:id="7" w:name="OLE_LINK17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三、聘任程序</w:t>
      </w:r>
      <w:bookmarkEnd w:id="5"/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1.报名申请。</w:t>
      </w:r>
      <w:bookmarkStart w:id="8" w:name="OLE_LINK11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8月13日</w:t>
      </w:r>
      <w:bookmarkEnd w:id="8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前有意愿的人员联系学院报名，并填写附件3，发至联系邮箱。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资格审核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8月13日前完成资格审查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公示聘任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经学校审议通过后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公示，公示期满发文聘任。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签订协议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。</w:t>
      </w:r>
      <w:bookmarkStart w:id="9" w:name="OLE_LINK23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学院与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拟聘教师签订工作协议</w:t>
      </w:r>
      <w:bookmarkEnd w:id="9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四、聘任计划及联系方式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2025年***学院兼职教师</w:t>
      </w:r>
      <w:bookmarkStart w:id="10" w:name="OLE_LINK22"/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聘任计划及联系方式</w:t>
      </w:r>
      <w:bookmarkEnd w:id="10"/>
    </w:p>
    <w:tbl>
      <w:tblPr>
        <w:tblStyle w:val="5"/>
        <w:tblW w:w="9560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658"/>
        <w:gridCol w:w="1887"/>
        <w:gridCol w:w="1787"/>
        <w:gridCol w:w="180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任教专业</w:t>
            </w:r>
          </w:p>
        </w:tc>
        <w:tc>
          <w:tcPr>
            <w:tcW w:w="18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任教课程</w:t>
            </w:r>
          </w:p>
        </w:tc>
        <w:tc>
          <w:tcPr>
            <w:tcW w:w="358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聘任计划</w:t>
            </w:r>
          </w:p>
        </w:tc>
        <w:tc>
          <w:tcPr>
            <w:tcW w:w="164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拟聘教师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8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校内授课兼职教师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岗位实习指导教师</w:t>
            </w:r>
          </w:p>
        </w:tc>
        <w:tc>
          <w:tcPr>
            <w:tcW w:w="1640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0" w:type="dxa"/>
            <w:gridSpan w:val="6"/>
            <w:noWrap w:val="0"/>
            <w:vAlign w:val="center"/>
          </w:tcPr>
          <w:p>
            <w:pPr>
              <w:pStyle w:val="2"/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联系人：             联系电话：            联系邮箱：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C7AC1"/>
    <w:rsid w:val="274B50CA"/>
    <w:rsid w:val="5937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2025-07-22T08:51:00Z</dcterms:created>
  <dc:creator>联想</dc:creator>
  <cp:lastModifiedBy>Administrator</cp:lastModifiedBy>
  <dcterms:modified xsi:type="dcterms:W3CDTF">2025-07-30T07:03:03Z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TemplateDocerSaveRecord">
    <vt:lpwstr>eyJoZGlkIjoiY2E1OWNjYzI4NTUyNDQ0YWVjYjk0Y2ZmYTI5MzFmZmIiLCJ1c2VySWQiOiI2MzA4MjI1MjEifQ==</vt:lpwstr>
  </property>
  <property fmtid="{D5CDD505-2E9C-101B-9397-08002B2CF9AE}" pid="4" name="ICV">
    <vt:lpwstr>CDCC62A515BD47B9A0E61CE226D3A16C_12</vt:lpwstr>
  </property>
</Properties>
</file>